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3D678" w14:textId="58F58594" w:rsidR="005E27F9" w:rsidRPr="00600201" w:rsidRDefault="005E27F9" w:rsidP="001C0C1F">
      <w:pPr>
        <w:pStyle w:val="Sinespaciado"/>
        <w:jc w:val="both"/>
        <w:rPr>
          <w:rFonts w:ascii="Rockwell" w:hAnsi="Rockwell"/>
          <w:b/>
          <w:u w:val="single"/>
        </w:rPr>
      </w:pPr>
      <w:r w:rsidRPr="00600201">
        <w:rPr>
          <w:rFonts w:ascii="Rockwell" w:hAnsi="Rockwell"/>
          <w:b/>
        </w:rPr>
        <w:t xml:space="preserve">Asunto: </w:t>
      </w:r>
      <w:r w:rsidRPr="00600201">
        <w:rPr>
          <w:rFonts w:ascii="Rockwell" w:hAnsi="Rockwell"/>
          <w:b/>
          <w:u w:val="single"/>
        </w:rPr>
        <w:t xml:space="preserve">Modificaciones en dúa de </w:t>
      </w:r>
      <w:r w:rsidR="00654C48" w:rsidRPr="00600201">
        <w:rPr>
          <w:rFonts w:ascii="Rockwell" w:hAnsi="Rockwell"/>
          <w:b/>
          <w:u w:val="single"/>
        </w:rPr>
        <w:t>importación</w:t>
      </w:r>
      <w:r w:rsidRPr="00600201">
        <w:rPr>
          <w:rFonts w:ascii="Rockwell" w:hAnsi="Rockwell"/>
          <w:b/>
          <w:u w:val="single"/>
        </w:rPr>
        <w:t xml:space="preserve"> ante la entrada de comercio electrónico para el 01 07 2021</w:t>
      </w:r>
    </w:p>
    <w:p w14:paraId="1DFFEB8D" w14:textId="7204B465" w:rsidR="005E27F9" w:rsidRDefault="005E27F9" w:rsidP="001C0C1F">
      <w:pPr>
        <w:pStyle w:val="Sinespaciado"/>
        <w:jc w:val="both"/>
        <w:rPr>
          <w:rFonts w:ascii="Rockwell" w:hAnsi="Rockwell"/>
          <w:b/>
          <w:u w:val="single"/>
        </w:rPr>
      </w:pPr>
    </w:p>
    <w:p w14:paraId="39896ADF" w14:textId="10949402" w:rsidR="002940CF" w:rsidRDefault="002940CF" w:rsidP="001C0C1F">
      <w:pPr>
        <w:pStyle w:val="Sinespaciado"/>
        <w:jc w:val="both"/>
        <w:rPr>
          <w:rFonts w:ascii="Rockwell" w:hAnsi="Rockwell"/>
          <w:b/>
        </w:rPr>
      </w:pPr>
      <w:r w:rsidRPr="002940CF">
        <w:rPr>
          <w:rFonts w:ascii="Rockwell" w:hAnsi="Rockwell"/>
          <w:b/>
        </w:rPr>
        <w:t xml:space="preserve">Fecha: 07 05 2021. </w:t>
      </w:r>
    </w:p>
    <w:p w14:paraId="2EFED955" w14:textId="77777777" w:rsidR="00900DC7" w:rsidRDefault="00900DC7" w:rsidP="001C0C1F">
      <w:pPr>
        <w:pStyle w:val="Sinespaciado"/>
        <w:jc w:val="both"/>
        <w:rPr>
          <w:rFonts w:ascii="Rockwell" w:hAnsi="Rockwell"/>
          <w:b/>
        </w:rPr>
      </w:pPr>
    </w:p>
    <w:p w14:paraId="1DC9EAFD" w14:textId="3F337FAD" w:rsidR="00292AF8" w:rsidRDefault="00292AF8" w:rsidP="00292AF8">
      <w:pPr>
        <w:pStyle w:val="Sinespaciado"/>
        <w:ind w:left="705"/>
        <w:jc w:val="both"/>
        <w:rPr>
          <w:rFonts w:ascii="Rockwell" w:hAnsi="Rockwell"/>
        </w:rPr>
      </w:pPr>
      <w:r w:rsidRPr="00292AF8">
        <w:rPr>
          <w:rFonts w:ascii="Rockwell" w:hAnsi="Rockwell"/>
        </w:rPr>
        <w:t>Aclaraciones sobre la declaración del código C08</w:t>
      </w:r>
      <w:r>
        <w:rPr>
          <w:rFonts w:ascii="Rockwell" w:hAnsi="Rockwell"/>
        </w:rPr>
        <w:t xml:space="preserve"> / 308 </w:t>
      </w:r>
      <w:r w:rsidRPr="00292AF8">
        <w:rPr>
          <w:rFonts w:ascii="Rockwell" w:hAnsi="Rockwell"/>
        </w:rPr>
        <w:t>en la Cas. 37.2 y la posibilidad de declarar C08 en la misma declaración junto con otras partidas que no informe C08</w:t>
      </w:r>
      <w:r>
        <w:rPr>
          <w:rFonts w:ascii="Rockwell" w:hAnsi="Rockwell"/>
        </w:rPr>
        <w:t xml:space="preserve"> / 308:</w:t>
      </w:r>
      <w:r w:rsidRPr="00292AF8">
        <w:rPr>
          <w:rFonts w:ascii="Rockwell" w:hAnsi="Rockwell"/>
        </w:rPr>
        <w:t xml:space="preserve"> aunque no se puede mezclar con los casos b y d. </w:t>
      </w:r>
    </w:p>
    <w:p w14:paraId="7C5AF7C3" w14:textId="225D31E2" w:rsidR="00292AF8" w:rsidRPr="00292AF8" w:rsidRDefault="00292AF8" w:rsidP="00292AF8">
      <w:pPr>
        <w:pStyle w:val="Sinespaciado"/>
        <w:ind w:left="705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No es declarable en Canarias el código F48 y sí los códigos C07, C08. </w:t>
      </w:r>
    </w:p>
    <w:p w14:paraId="4126367A" w14:textId="1720E922" w:rsidR="002940CF" w:rsidRDefault="002940CF" w:rsidP="001C0C1F">
      <w:pPr>
        <w:pStyle w:val="Sinespaciado"/>
        <w:jc w:val="both"/>
        <w:rPr>
          <w:rFonts w:ascii="Rockwell" w:hAnsi="Rockwell"/>
          <w:b/>
          <w:u w:val="single"/>
        </w:rPr>
      </w:pPr>
    </w:p>
    <w:p w14:paraId="61B25A66" w14:textId="2B7495F8" w:rsidR="005B4CF0" w:rsidRDefault="005B4CF0" w:rsidP="005B4CF0">
      <w:pPr>
        <w:pStyle w:val="Sinespaciado"/>
        <w:jc w:val="both"/>
        <w:rPr>
          <w:rFonts w:ascii="Rockwell" w:hAnsi="Rockwell"/>
          <w:b/>
        </w:rPr>
      </w:pPr>
      <w:r w:rsidRPr="002940CF">
        <w:rPr>
          <w:rFonts w:ascii="Rockwell" w:hAnsi="Rockwell"/>
          <w:b/>
        </w:rPr>
        <w:t xml:space="preserve">Fecha: </w:t>
      </w:r>
      <w:r>
        <w:rPr>
          <w:rFonts w:ascii="Rockwell" w:hAnsi="Rockwell"/>
          <w:b/>
        </w:rPr>
        <w:t>24 06 2021.</w:t>
      </w:r>
    </w:p>
    <w:p w14:paraId="32AA1F64" w14:textId="77777777" w:rsidR="00927841" w:rsidRDefault="00927841" w:rsidP="005B4CF0">
      <w:pPr>
        <w:pStyle w:val="Sinespaciado"/>
        <w:jc w:val="both"/>
        <w:rPr>
          <w:rFonts w:ascii="Rockwell" w:hAnsi="Rockwell"/>
          <w:b/>
        </w:rPr>
      </w:pPr>
      <w:bookmarkStart w:id="0" w:name="_GoBack"/>
      <w:bookmarkEnd w:id="0"/>
    </w:p>
    <w:p w14:paraId="4E030E97" w14:textId="3D69035F" w:rsidR="005B4CF0" w:rsidRDefault="005B4CF0" w:rsidP="005B4CF0">
      <w:pPr>
        <w:pStyle w:val="Sinespaciado"/>
        <w:jc w:val="both"/>
        <w:rPr>
          <w:rFonts w:ascii="Rockwell" w:hAnsi="Rockwell" w:cs="Calibri"/>
          <w:bCs/>
        </w:rPr>
      </w:pPr>
      <w:r w:rsidRPr="005B4CF0">
        <w:rPr>
          <w:rFonts w:ascii="Rockwell" w:hAnsi="Rockwell"/>
        </w:rPr>
        <w:tab/>
        <w:t xml:space="preserve">Aclaración sobre el uso del NIF auxiliar </w:t>
      </w:r>
      <w:r w:rsidRPr="005B4CF0">
        <w:rPr>
          <w:rFonts w:ascii="Rockwell" w:hAnsi="Rockwell" w:cs="Calibri"/>
          <w:bCs/>
        </w:rPr>
        <w:t>89890029</w:t>
      </w:r>
      <w:r w:rsidRPr="005B4CF0">
        <w:rPr>
          <w:rFonts w:ascii="Rockwell" w:hAnsi="Rockwell" w:cs="Calibri"/>
          <w:bCs/>
        </w:rPr>
        <w:t xml:space="preserve">A </w:t>
      </w:r>
      <w:r w:rsidRPr="005B4CF0">
        <w:rPr>
          <w:rFonts w:ascii="Rockwell" w:hAnsi="Rockwell" w:cs="Calibri"/>
          <w:bCs/>
        </w:rPr>
        <w:t>Particular ecommerce sin NIF</w:t>
      </w:r>
      <w:r w:rsidRPr="005B4CF0">
        <w:rPr>
          <w:rFonts w:ascii="Rockwell" w:hAnsi="Rockwell" w:cs="Calibri"/>
          <w:bCs/>
        </w:rPr>
        <w:t xml:space="preserve">. </w:t>
      </w:r>
    </w:p>
    <w:p w14:paraId="57722416" w14:textId="07F7F4A7" w:rsidR="005B4CF0" w:rsidRDefault="005B4CF0" w:rsidP="005B4CF0">
      <w:pPr>
        <w:pStyle w:val="Sinespaciado"/>
        <w:ind w:left="708"/>
        <w:jc w:val="both"/>
        <w:rPr>
          <w:rFonts w:ascii="Rockwell" w:hAnsi="Rockwell" w:cs="Calibri"/>
          <w:bCs/>
          <w:sz w:val="16"/>
          <w:szCs w:val="16"/>
        </w:rPr>
      </w:pPr>
      <w:r>
        <w:rPr>
          <w:rFonts w:ascii="Rockwell" w:hAnsi="Rockwell" w:cs="Calibri"/>
          <w:bCs/>
        </w:rPr>
        <w:t xml:space="preserve">La razón social de NIF </w:t>
      </w:r>
      <w:r w:rsidRPr="005B4CF0">
        <w:rPr>
          <w:rFonts w:ascii="Rockwell" w:hAnsi="Rockwell" w:cs="Calibri"/>
          <w:bCs/>
        </w:rPr>
        <w:t>89890029</w:t>
      </w:r>
      <w:r>
        <w:rPr>
          <w:rFonts w:ascii="Rockwell" w:hAnsi="Rockwell" w:cs="Calibri"/>
          <w:bCs/>
        </w:rPr>
        <w:t>A es “</w:t>
      </w:r>
      <w:r w:rsidRPr="005B4CF0">
        <w:rPr>
          <w:rFonts w:ascii="Rockwell" w:hAnsi="Rockwell" w:cs="Calibri"/>
          <w:bCs/>
        </w:rPr>
        <w:t>Particular ecommerce sin NIF</w:t>
      </w:r>
      <w:r>
        <w:rPr>
          <w:rFonts w:ascii="Rockwell" w:hAnsi="Rockwell" w:cs="Calibri"/>
          <w:bCs/>
        </w:rPr>
        <w:t>”, ahora bien, cuando se declare este NIF, en la razón social del importador</w:t>
      </w:r>
      <w:r w:rsidR="00010481">
        <w:rPr>
          <w:rFonts w:ascii="Rockwell" w:hAnsi="Rockwell" w:cs="Calibri"/>
          <w:bCs/>
        </w:rPr>
        <w:t>,</w:t>
      </w:r>
      <w:r>
        <w:rPr>
          <w:rFonts w:ascii="Rockwell" w:hAnsi="Rockwell" w:cs="Calibri"/>
          <w:bCs/>
        </w:rPr>
        <w:t xml:space="preserve"> no se debe declarar aquella razón social y sí la razón social real del importador. Por ello, de aquí en adelante se elimina de esta noticia “Particular</w:t>
      </w:r>
      <w:r w:rsidRPr="00266824">
        <w:rPr>
          <w:rFonts w:ascii="Rockwell" w:hAnsi="Rockwell" w:cs="Calibri"/>
          <w:bCs/>
        </w:rPr>
        <w:t xml:space="preserve"> ecommerce sin NIF</w:t>
      </w:r>
      <w:r>
        <w:rPr>
          <w:rFonts w:ascii="Rockwell" w:hAnsi="Rockwell" w:cs="Calibri"/>
          <w:bCs/>
        </w:rPr>
        <w:t>” siendo sustituido por “…</w:t>
      </w:r>
      <w:r>
        <w:rPr>
          <w:rFonts w:ascii="Rockwell" w:hAnsi="Rockwell" w:cs="Calibri"/>
          <w:bCs/>
        </w:rPr>
        <w:t xml:space="preserve">junto con la razón </w:t>
      </w:r>
      <w:r>
        <w:rPr>
          <w:rFonts w:ascii="Rockwell" w:hAnsi="Rockwell" w:cs="Calibri"/>
          <w:bCs/>
        </w:rPr>
        <w:t>social real del importador”.</w:t>
      </w:r>
    </w:p>
    <w:p w14:paraId="5AEAFD4A" w14:textId="52A32292" w:rsidR="005B4CF0" w:rsidRDefault="005B4CF0" w:rsidP="005B4CF0">
      <w:pPr>
        <w:pStyle w:val="Sinespaciado"/>
        <w:ind w:left="708"/>
        <w:jc w:val="both"/>
        <w:rPr>
          <w:rFonts w:ascii="Rockwell" w:hAnsi="Rockwell" w:cs="Calibri"/>
          <w:bCs/>
        </w:rPr>
      </w:pPr>
    </w:p>
    <w:p w14:paraId="00B32C02" w14:textId="6D0B05D0" w:rsidR="005B4CF0" w:rsidRPr="005B4CF0" w:rsidRDefault="005B4CF0" w:rsidP="005B4CF0">
      <w:pPr>
        <w:pStyle w:val="Sinespaciado"/>
        <w:ind w:left="708"/>
        <w:jc w:val="both"/>
        <w:rPr>
          <w:rFonts w:ascii="Rockwell" w:hAnsi="Rockwell"/>
        </w:rPr>
      </w:pPr>
    </w:p>
    <w:p w14:paraId="78F5AC2F" w14:textId="77777777" w:rsidR="005B4CF0" w:rsidRPr="00953678" w:rsidRDefault="005B4CF0" w:rsidP="001C0C1F">
      <w:pPr>
        <w:pStyle w:val="Sinespaciado"/>
        <w:jc w:val="both"/>
        <w:rPr>
          <w:rFonts w:ascii="Rockwell" w:hAnsi="Rockwell"/>
          <w:b/>
          <w:u w:val="single"/>
        </w:rPr>
      </w:pPr>
    </w:p>
    <w:p w14:paraId="7B4EE1FD" w14:textId="73710444" w:rsidR="00A92656" w:rsidRPr="00953678" w:rsidRDefault="005E27F9" w:rsidP="001C0C1F">
      <w:pPr>
        <w:pStyle w:val="Sinespaciado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Modificaciones</w:t>
      </w:r>
      <w:r w:rsidR="00266824">
        <w:rPr>
          <w:rFonts w:ascii="Rockwell" w:hAnsi="Rockwell"/>
        </w:rPr>
        <w:t xml:space="preserve"> para el caso de importadores particulares que usen representante</w:t>
      </w:r>
      <w:r w:rsidRPr="00953678">
        <w:rPr>
          <w:rFonts w:ascii="Rockwell" w:hAnsi="Rockwell"/>
        </w:rPr>
        <w:t>:</w:t>
      </w:r>
    </w:p>
    <w:p w14:paraId="2CD3682D" w14:textId="45505672" w:rsidR="005E27F9" w:rsidRPr="00953678" w:rsidRDefault="005E27F9" w:rsidP="001C0C1F">
      <w:pPr>
        <w:pStyle w:val="Sinespaciado"/>
        <w:jc w:val="both"/>
        <w:rPr>
          <w:rFonts w:ascii="Rockwell" w:hAnsi="Rockwell"/>
        </w:rPr>
      </w:pPr>
    </w:p>
    <w:p w14:paraId="361133EC" w14:textId="3090FC76" w:rsidR="005E27F9" w:rsidRPr="00953678" w:rsidRDefault="005E27F9" w:rsidP="001C0C1F">
      <w:pPr>
        <w:pStyle w:val="Sinespaciado"/>
        <w:numPr>
          <w:ilvl w:val="0"/>
          <w:numId w:val="3"/>
        </w:numPr>
        <w:jc w:val="both"/>
        <w:rPr>
          <w:rFonts w:ascii="Rockwell" w:hAnsi="Rockwell"/>
        </w:rPr>
      </w:pPr>
      <w:r w:rsidRPr="00953678">
        <w:rPr>
          <w:rFonts w:ascii="Rockwell" w:hAnsi="Rockwell" w:cs="Default Sans Serif"/>
        </w:rPr>
        <w:t xml:space="preserve"> NO se puede declarar el NIF del declarante como importador </w:t>
      </w:r>
      <w:r w:rsidR="00385F94" w:rsidRPr="00953678">
        <w:rPr>
          <w:rFonts w:ascii="Rockwell" w:hAnsi="Rockwell" w:cs="Default Sans Serif"/>
        </w:rPr>
        <w:t xml:space="preserve">si el </w:t>
      </w:r>
      <w:r w:rsidRPr="00953678">
        <w:rPr>
          <w:rFonts w:ascii="Rockwell" w:hAnsi="Rockwell" w:cs="Default Sans Serif"/>
        </w:rPr>
        <w:t>carácter de representación = 3.</w:t>
      </w:r>
    </w:p>
    <w:p w14:paraId="5CBA0404" w14:textId="78728019" w:rsidR="005E27F9" w:rsidRPr="00266824" w:rsidRDefault="00385F94" w:rsidP="005F2720">
      <w:pPr>
        <w:pStyle w:val="Sinespaciado"/>
        <w:numPr>
          <w:ilvl w:val="0"/>
          <w:numId w:val="3"/>
        </w:numPr>
        <w:ind w:left="708"/>
        <w:jc w:val="both"/>
        <w:rPr>
          <w:rFonts w:ascii="Rockwell" w:hAnsi="Rockwell"/>
        </w:rPr>
      </w:pPr>
      <w:r w:rsidRPr="00266824">
        <w:rPr>
          <w:rFonts w:ascii="Rockwell" w:hAnsi="Rockwell"/>
        </w:rPr>
        <w:t>Código</w:t>
      </w:r>
      <w:r w:rsidR="005E27F9" w:rsidRPr="00266824">
        <w:rPr>
          <w:rFonts w:ascii="Rockwell" w:hAnsi="Rockwell"/>
        </w:rPr>
        <w:t xml:space="preserve"> de Franquicia C07</w:t>
      </w:r>
      <w:r w:rsidR="00365135">
        <w:rPr>
          <w:rFonts w:ascii="Rockwell" w:hAnsi="Rockwell"/>
        </w:rPr>
        <w:t xml:space="preserve"> / </w:t>
      </w:r>
      <w:r w:rsidR="00F117F0">
        <w:rPr>
          <w:rFonts w:ascii="Rockwell" w:hAnsi="Rockwell"/>
        </w:rPr>
        <w:t xml:space="preserve">318 </w:t>
      </w:r>
      <w:r w:rsidR="00F117F0" w:rsidRPr="00266824">
        <w:rPr>
          <w:rFonts w:ascii="Rockwell" w:hAnsi="Rockwell"/>
        </w:rPr>
        <w:t>declarado</w:t>
      </w:r>
      <w:r w:rsidR="005E27F9" w:rsidRPr="00266824">
        <w:rPr>
          <w:rFonts w:ascii="Rockwell" w:hAnsi="Rockwell"/>
        </w:rPr>
        <w:t xml:space="preserve"> en la Cas.37.2.</w:t>
      </w:r>
    </w:p>
    <w:p w14:paraId="304F0615" w14:textId="509000E7" w:rsidR="00266824" w:rsidRDefault="00EA6537" w:rsidP="00266824">
      <w:pPr>
        <w:pStyle w:val="Sinespaciado"/>
        <w:ind w:left="720"/>
        <w:jc w:val="both"/>
        <w:rPr>
          <w:rFonts w:ascii="Rockwell" w:hAnsi="Rockwell"/>
        </w:rPr>
      </w:pPr>
      <w:r>
        <w:rPr>
          <w:rFonts w:ascii="Rockwell" w:hAnsi="Rockwell"/>
        </w:rPr>
        <w:t>1</w:t>
      </w:r>
      <w:r w:rsidR="00FB217A">
        <w:rPr>
          <w:rFonts w:ascii="Rockwell" w:hAnsi="Rockwell"/>
        </w:rPr>
        <w:t xml:space="preserve">.- C07 </w:t>
      </w:r>
      <w:r w:rsidR="00051E3F">
        <w:rPr>
          <w:rFonts w:ascii="Rockwell" w:hAnsi="Rockwell"/>
        </w:rPr>
        <w:t>CON</w:t>
      </w:r>
      <w:r w:rsidR="00FB217A">
        <w:rPr>
          <w:rFonts w:ascii="Rockwell" w:hAnsi="Rockwell"/>
        </w:rPr>
        <w:t xml:space="preserve"> mercancía sujeta </w:t>
      </w:r>
      <w:r>
        <w:rPr>
          <w:rFonts w:ascii="Rockwell" w:hAnsi="Rockwell"/>
        </w:rPr>
        <w:t>a prohibiciones o restricciones.</w:t>
      </w:r>
    </w:p>
    <w:p w14:paraId="573E0412" w14:textId="490E500E" w:rsidR="00266824" w:rsidRDefault="005E27F9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266824">
        <w:rPr>
          <w:rFonts w:ascii="Rockwell" w:hAnsi="Rockwell" w:cs="Calibri"/>
          <w:bCs/>
        </w:rPr>
        <w:t xml:space="preserve">Se puede utilizar el NIF auxiliar </w:t>
      </w:r>
      <w:r w:rsidR="005B4CF0">
        <w:rPr>
          <w:rFonts w:ascii="Rockwell" w:hAnsi="Rockwell" w:cs="Calibri"/>
          <w:bCs/>
        </w:rPr>
        <w:t xml:space="preserve">8989002A. </w:t>
      </w:r>
    </w:p>
    <w:p w14:paraId="7CADE0BD" w14:textId="77777777" w:rsidR="00266824" w:rsidRDefault="00B358CA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953678">
        <w:rPr>
          <w:rFonts w:ascii="Rockwell" w:hAnsi="Rockwell" w:cs="Calibri"/>
          <w:bCs/>
        </w:rPr>
        <w:t>El carácter de representación ha de ser “3”.</w:t>
      </w:r>
    </w:p>
    <w:p w14:paraId="4BA842CE" w14:textId="77777777" w:rsidR="00266824" w:rsidRDefault="00B358CA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953678">
        <w:rPr>
          <w:rFonts w:ascii="Rockwell" w:hAnsi="Rockwell" w:cs="Calibri"/>
          <w:bCs/>
        </w:rPr>
        <w:t>El declarante ha</w:t>
      </w:r>
      <w:r w:rsidR="00266824">
        <w:rPr>
          <w:rFonts w:ascii="Rockwell" w:hAnsi="Rockwell" w:cs="Calibri"/>
          <w:bCs/>
        </w:rPr>
        <w:t xml:space="preserve"> de ser representante aduanero.</w:t>
      </w:r>
    </w:p>
    <w:p w14:paraId="4416D37C" w14:textId="01A21248" w:rsidR="007404B1" w:rsidRPr="007404B1" w:rsidRDefault="00051E3F" w:rsidP="007404B1">
      <w:pPr>
        <w:pStyle w:val="Sinespaciado"/>
        <w:ind w:left="1416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NO </w:t>
      </w:r>
      <w:r w:rsidR="007404B1" w:rsidRPr="00FB217A">
        <w:rPr>
          <w:rFonts w:ascii="Rockwell" w:hAnsi="Rockwell"/>
        </w:rPr>
        <w:t xml:space="preserve">es exigible autorización de despacho. </w:t>
      </w:r>
    </w:p>
    <w:p w14:paraId="521EED29" w14:textId="3C9F3DE8" w:rsidR="000B0256" w:rsidRPr="00FB217A" w:rsidRDefault="007404B1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>
        <w:rPr>
          <w:rFonts w:ascii="Rockwell" w:hAnsi="Rockwell" w:cs="Calibri"/>
          <w:bCs/>
        </w:rPr>
        <w:t xml:space="preserve">Si declara C07 y </w:t>
      </w:r>
      <w:r w:rsidR="000B0256" w:rsidRPr="00FB217A">
        <w:rPr>
          <w:rFonts w:ascii="Rockwell" w:hAnsi="Rockwell" w:cs="Calibri"/>
          <w:bCs/>
        </w:rPr>
        <w:t>F48</w:t>
      </w:r>
      <w:r>
        <w:rPr>
          <w:rFonts w:ascii="Rockwell" w:hAnsi="Rockwell" w:cs="Calibri"/>
          <w:bCs/>
        </w:rPr>
        <w:t xml:space="preserve"> en la Cas.37.2</w:t>
      </w:r>
      <w:r w:rsidR="000B0256" w:rsidRPr="00FB217A">
        <w:rPr>
          <w:rFonts w:ascii="Rockwell" w:hAnsi="Rockwell" w:cs="Calibri"/>
          <w:bCs/>
        </w:rPr>
        <w:t xml:space="preserve">: </w:t>
      </w:r>
    </w:p>
    <w:p w14:paraId="1F2830D0" w14:textId="77777777" w:rsidR="00266824" w:rsidRDefault="000B0256" w:rsidP="00266824">
      <w:pPr>
        <w:pStyle w:val="Sinespaciado"/>
        <w:ind w:left="2124"/>
        <w:jc w:val="both"/>
        <w:rPr>
          <w:rFonts w:ascii="Rockwell" w:hAnsi="Rockwell"/>
        </w:rPr>
      </w:pPr>
      <w:r w:rsidRPr="00600201">
        <w:rPr>
          <w:rFonts w:ascii="Rockwell" w:hAnsi="Rockwell"/>
        </w:rPr>
        <w:t xml:space="preserve">Se declarará un código 5024 en la Cas. 44 con </w:t>
      </w:r>
      <w:r>
        <w:rPr>
          <w:rFonts w:ascii="Rockwell" w:hAnsi="Rockwell"/>
        </w:rPr>
        <w:t>el número de identificador IOSS</w:t>
      </w:r>
    </w:p>
    <w:p w14:paraId="077D205B" w14:textId="63E5636B" w:rsidR="000B0256" w:rsidRPr="00FB217A" w:rsidRDefault="00266824" w:rsidP="00266824">
      <w:pPr>
        <w:pStyle w:val="Sinespaciado"/>
        <w:ind w:left="2124"/>
        <w:jc w:val="both"/>
        <w:rPr>
          <w:rFonts w:ascii="Rockwell" w:hAnsi="Rockwell"/>
        </w:rPr>
      </w:pPr>
      <w:r>
        <w:rPr>
          <w:rFonts w:ascii="Rockwell" w:hAnsi="Rockwell" w:cs="Calibri"/>
          <w:bCs/>
        </w:rPr>
        <w:t>Es preciso disponer de una a</w:t>
      </w:r>
      <w:r w:rsidRPr="00953678">
        <w:rPr>
          <w:rFonts w:ascii="Rockwell" w:hAnsi="Rockwell" w:cs="Calibri"/>
          <w:bCs/>
        </w:rPr>
        <w:t xml:space="preserve">utorización específica o esporádica </w:t>
      </w:r>
      <w:r w:rsidRPr="00FB217A">
        <w:rPr>
          <w:rFonts w:ascii="Rockwell" w:hAnsi="Rockwell" w:cs="Calibri"/>
          <w:bCs/>
        </w:rPr>
        <w:t>para utilización del identificador IOSS</w:t>
      </w:r>
      <w:r w:rsidR="000B0256" w:rsidRPr="00FB217A">
        <w:rPr>
          <w:rFonts w:ascii="Rockwell" w:hAnsi="Rockwell"/>
        </w:rPr>
        <w:t xml:space="preserve">: </w:t>
      </w:r>
    </w:p>
    <w:p w14:paraId="7C778CE8" w14:textId="37EAD298" w:rsidR="000B0256" w:rsidRPr="00FB217A" w:rsidRDefault="00266824" w:rsidP="006A0EFA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Específica. </w:t>
      </w:r>
      <w:r w:rsidR="000B0256" w:rsidRPr="00FB217A">
        <w:rPr>
          <w:rFonts w:ascii="Rockwell" w:hAnsi="Rockwell"/>
        </w:rPr>
        <w:t>Ha de encontrarse autorizada la relación entre el declarante y el identificador IOSS</w:t>
      </w:r>
      <w:r w:rsidR="00051E3F">
        <w:rPr>
          <w:rFonts w:ascii="Rockwell" w:hAnsi="Rockwell"/>
        </w:rPr>
        <w:t xml:space="preserve"> en la AEAT</w:t>
      </w:r>
      <w:r w:rsidR="000B0256" w:rsidRPr="00FB217A">
        <w:rPr>
          <w:rFonts w:ascii="Rockwell" w:hAnsi="Rockwell"/>
        </w:rPr>
        <w:t xml:space="preserve">. </w:t>
      </w:r>
    </w:p>
    <w:p w14:paraId="01C212B2" w14:textId="1E6DB1A8" w:rsidR="000B0256" w:rsidRPr="00FB217A" w:rsidRDefault="000B0256" w:rsidP="00140CA2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Esporádica. </w:t>
      </w:r>
      <w:r w:rsidR="00266824" w:rsidRPr="00FB217A">
        <w:rPr>
          <w:rFonts w:ascii="Rockwell" w:hAnsi="Rockwell"/>
        </w:rPr>
        <w:t xml:space="preserve"> </w:t>
      </w:r>
      <w:r w:rsidRPr="00FB217A">
        <w:rPr>
          <w:rFonts w:ascii="Rockwell" w:hAnsi="Rockwell"/>
        </w:rPr>
        <w:t>Se declarará con un código 1014 en la Cas. 44.</w:t>
      </w:r>
    </w:p>
    <w:p w14:paraId="1C1B0785" w14:textId="77777777" w:rsidR="00CE2894" w:rsidRPr="00FB217A" w:rsidRDefault="00CE2894" w:rsidP="001C0C1F">
      <w:pPr>
        <w:pStyle w:val="Sinespaciado"/>
        <w:jc w:val="both"/>
        <w:rPr>
          <w:rFonts w:ascii="Rockwell" w:hAnsi="Rockwell"/>
        </w:rPr>
      </w:pPr>
    </w:p>
    <w:p w14:paraId="0E719196" w14:textId="0E619DB8" w:rsidR="00EA6537" w:rsidRPr="00FB217A" w:rsidRDefault="00B358CA" w:rsidP="00266824">
      <w:pPr>
        <w:pStyle w:val="Sinespaciado"/>
        <w:ind w:left="708"/>
        <w:jc w:val="both"/>
        <w:rPr>
          <w:rFonts w:ascii="Rockwell" w:hAnsi="Rockwell"/>
        </w:rPr>
      </w:pPr>
      <w:r w:rsidRPr="00FB217A">
        <w:rPr>
          <w:rFonts w:ascii="Rockwell" w:hAnsi="Rockwell"/>
        </w:rPr>
        <w:t>2.- C07</w:t>
      </w:r>
      <w:r w:rsidR="00365135">
        <w:rPr>
          <w:rFonts w:ascii="Rockwell" w:hAnsi="Rockwell"/>
        </w:rPr>
        <w:t xml:space="preserve"> / </w:t>
      </w:r>
      <w:r w:rsidR="00F117F0">
        <w:rPr>
          <w:rFonts w:ascii="Rockwell" w:hAnsi="Rockwell"/>
        </w:rPr>
        <w:t xml:space="preserve">318 </w:t>
      </w:r>
      <w:r w:rsidR="00F117F0" w:rsidRPr="00FB217A">
        <w:rPr>
          <w:rFonts w:ascii="Rockwell" w:hAnsi="Rockwell"/>
        </w:rPr>
        <w:t>SIN</w:t>
      </w:r>
      <w:r w:rsidR="00051E3F">
        <w:rPr>
          <w:rFonts w:ascii="Rockwell" w:hAnsi="Rockwell"/>
        </w:rPr>
        <w:t xml:space="preserve"> mercancía sujeta a prohibiciones o restricciones</w:t>
      </w:r>
    </w:p>
    <w:p w14:paraId="5F5C32AD" w14:textId="6F10FB19" w:rsidR="005B4CF0" w:rsidRDefault="003629E2" w:rsidP="005B4CF0">
      <w:pPr>
        <w:pStyle w:val="Sinespaciado"/>
        <w:ind w:left="2124"/>
        <w:jc w:val="both"/>
        <w:rPr>
          <w:rFonts w:ascii="Rockwell" w:hAnsi="Rockwell" w:cs="Calibri"/>
          <w:bCs/>
          <w:sz w:val="16"/>
          <w:szCs w:val="16"/>
        </w:rPr>
      </w:pPr>
      <w:r>
        <w:rPr>
          <w:rFonts w:ascii="Rockwell" w:hAnsi="Rockwell"/>
        </w:rPr>
        <w:t xml:space="preserve">El identificador del </w:t>
      </w:r>
      <w:r w:rsidR="0036641E">
        <w:rPr>
          <w:rFonts w:ascii="Rockwell" w:hAnsi="Rockwell"/>
        </w:rPr>
        <w:t>particular deberá</w:t>
      </w:r>
      <w:r>
        <w:rPr>
          <w:rFonts w:ascii="Rockwell" w:hAnsi="Rockwell"/>
        </w:rPr>
        <w:t xml:space="preserve"> ser su número de identificación </w:t>
      </w:r>
      <w:r w:rsidR="0036641E">
        <w:rPr>
          <w:rFonts w:ascii="Rockwell" w:hAnsi="Rockwell"/>
        </w:rPr>
        <w:t xml:space="preserve">fiscal y, </w:t>
      </w:r>
      <w:r>
        <w:rPr>
          <w:rFonts w:ascii="Rockwell" w:hAnsi="Rockwell"/>
        </w:rPr>
        <w:t xml:space="preserve">por tanto, </w:t>
      </w:r>
      <w:r w:rsidR="00051E3F">
        <w:rPr>
          <w:rFonts w:ascii="Rockwell" w:hAnsi="Rockwell"/>
        </w:rPr>
        <w:t xml:space="preserve">NO </w:t>
      </w:r>
      <w:r w:rsidR="00B358CA" w:rsidRPr="00FB217A">
        <w:rPr>
          <w:rFonts w:ascii="Rockwell" w:hAnsi="Rockwell"/>
        </w:rPr>
        <w:t xml:space="preserve">se puede utilizar </w:t>
      </w:r>
      <w:r w:rsidR="0036641E">
        <w:rPr>
          <w:rFonts w:ascii="Rockwell" w:hAnsi="Rockwell"/>
        </w:rPr>
        <w:t xml:space="preserve">el </w:t>
      </w:r>
      <w:r w:rsidR="00B358CA" w:rsidRPr="00FB217A">
        <w:rPr>
          <w:rFonts w:ascii="Rockwell" w:hAnsi="Rockwell"/>
        </w:rPr>
        <w:t xml:space="preserve">NIF auxiliar </w:t>
      </w:r>
      <w:r>
        <w:rPr>
          <w:rFonts w:ascii="Rockwell" w:hAnsi="Rockwell"/>
        </w:rPr>
        <w:t>“</w:t>
      </w:r>
      <w:r w:rsidR="00953678" w:rsidRPr="00FB217A">
        <w:rPr>
          <w:rFonts w:ascii="Rockwell" w:hAnsi="Rockwell" w:cs="Calibri"/>
          <w:bCs/>
        </w:rPr>
        <w:t>89890029</w:t>
      </w:r>
      <w:r w:rsidR="005B4CF0">
        <w:rPr>
          <w:rFonts w:ascii="Rockwell" w:hAnsi="Rockwell" w:cs="Calibri"/>
          <w:bCs/>
        </w:rPr>
        <w:t xml:space="preserve">A </w:t>
      </w:r>
      <w:r w:rsidR="005B4CF0">
        <w:rPr>
          <w:rFonts w:ascii="Rockwell" w:hAnsi="Rockwell" w:cs="Calibri"/>
          <w:bCs/>
        </w:rPr>
        <w:t xml:space="preserve">junto con la razón social real del importador. </w:t>
      </w:r>
    </w:p>
    <w:p w14:paraId="514DBD54" w14:textId="66582A50" w:rsidR="00FB217A" w:rsidRPr="00FB217A" w:rsidRDefault="00FB217A" w:rsidP="0036641E">
      <w:pPr>
        <w:pStyle w:val="Sinespaciado"/>
        <w:ind w:left="1416"/>
        <w:jc w:val="both"/>
        <w:rPr>
          <w:rFonts w:ascii="Rockwell" w:hAnsi="Rockwell" w:cs="Calibri"/>
          <w:bCs/>
        </w:rPr>
      </w:pPr>
    </w:p>
    <w:p w14:paraId="4F5083C3" w14:textId="128C00E3" w:rsidR="007404B1" w:rsidRPr="007404B1" w:rsidRDefault="007404B1" w:rsidP="007404B1">
      <w:pPr>
        <w:pStyle w:val="Sinespaciado"/>
        <w:ind w:left="1416"/>
        <w:jc w:val="both"/>
        <w:rPr>
          <w:rFonts w:ascii="Rockwell" w:hAnsi="Rockwell"/>
        </w:rPr>
      </w:pPr>
      <w:r w:rsidRPr="00FB217A">
        <w:rPr>
          <w:rFonts w:ascii="Rockwell" w:hAnsi="Rockwell"/>
        </w:rPr>
        <w:t>Es exigible autorización de despacho</w:t>
      </w:r>
      <w:r w:rsidRPr="00953678">
        <w:rPr>
          <w:rFonts w:ascii="Rockwell" w:hAnsi="Rockwell"/>
        </w:rPr>
        <w:t xml:space="preserve">. </w:t>
      </w:r>
    </w:p>
    <w:p w14:paraId="357C47C7" w14:textId="00A83045" w:rsidR="007404B1" w:rsidRPr="00FB217A" w:rsidRDefault="007404B1" w:rsidP="007404B1">
      <w:pPr>
        <w:pStyle w:val="Sinespaciado"/>
        <w:ind w:left="1416"/>
        <w:jc w:val="both"/>
        <w:rPr>
          <w:rFonts w:ascii="Rockwell" w:hAnsi="Rockwell" w:cs="Calibri"/>
          <w:bCs/>
        </w:rPr>
      </w:pPr>
      <w:r>
        <w:rPr>
          <w:rFonts w:ascii="Rockwell" w:hAnsi="Rockwell" w:cs="Calibri"/>
          <w:bCs/>
        </w:rPr>
        <w:t xml:space="preserve">Si declara C07 y </w:t>
      </w:r>
      <w:r w:rsidRPr="00FB217A">
        <w:rPr>
          <w:rFonts w:ascii="Rockwell" w:hAnsi="Rockwell" w:cs="Calibri"/>
          <w:bCs/>
        </w:rPr>
        <w:t>F48</w:t>
      </w:r>
      <w:r>
        <w:rPr>
          <w:rFonts w:ascii="Rockwell" w:hAnsi="Rockwell" w:cs="Calibri"/>
          <w:bCs/>
        </w:rPr>
        <w:t xml:space="preserve"> en la Cas.37.2</w:t>
      </w:r>
      <w:r w:rsidRPr="00FB217A">
        <w:rPr>
          <w:rFonts w:ascii="Rockwell" w:hAnsi="Rockwell" w:cs="Calibri"/>
          <w:bCs/>
        </w:rPr>
        <w:t xml:space="preserve">: </w:t>
      </w:r>
    </w:p>
    <w:p w14:paraId="74D09A90" w14:textId="7A57D2A4" w:rsidR="00494810" w:rsidRDefault="00494810" w:rsidP="001C0C1F">
      <w:pPr>
        <w:pStyle w:val="Sinespaciado"/>
        <w:ind w:left="2124"/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Se declarará un código 5024 en la Cas. 44 con </w:t>
      </w:r>
      <w:r w:rsidR="00312690" w:rsidRPr="00FB217A">
        <w:rPr>
          <w:rFonts w:ascii="Rockwell" w:hAnsi="Rockwell"/>
        </w:rPr>
        <w:t xml:space="preserve">el número </w:t>
      </w:r>
      <w:r w:rsidR="007404B1">
        <w:rPr>
          <w:rFonts w:ascii="Rockwell" w:hAnsi="Rockwell"/>
        </w:rPr>
        <w:t>de identificador IOSS</w:t>
      </w:r>
    </w:p>
    <w:p w14:paraId="2041E094" w14:textId="77777777" w:rsidR="007404B1" w:rsidRPr="00FB217A" w:rsidRDefault="007404B1" w:rsidP="007404B1">
      <w:pPr>
        <w:pStyle w:val="Sinespaciado"/>
        <w:ind w:left="2124"/>
        <w:jc w:val="both"/>
        <w:rPr>
          <w:rFonts w:ascii="Rockwell" w:hAnsi="Rockwell"/>
        </w:rPr>
      </w:pPr>
      <w:r>
        <w:rPr>
          <w:rFonts w:ascii="Rockwell" w:hAnsi="Rockwell" w:cs="Calibri"/>
          <w:bCs/>
        </w:rPr>
        <w:t>Es preciso disponer de una a</w:t>
      </w:r>
      <w:r w:rsidRPr="00953678">
        <w:rPr>
          <w:rFonts w:ascii="Rockwell" w:hAnsi="Rockwell" w:cs="Calibri"/>
          <w:bCs/>
        </w:rPr>
        <w:t xml:space="preserve">utorización específica o esporádica </w:t>
      </w:r>
      <w:r w:rsidRPr="00FB217A">
        <w:rPr>
          <w:rFonts w:ascii="Rockwell" w:hAnsi="Rockwell" w:cs="Calibri"/>
          <w:bCs/>
        </w:rPr>
        <w:t>para utilización del identificador IOSS</w:t>
      </w:r>
      <w:r w:rsidRPr="00FB217A">
        <w:rPr>
          <w:rFonts w:ascii="Rockwell" w:hAnsi="Rockwell"/>
        </w:rPr>
        <w:t xml:space="preserve">: </w:t>
      </w:r>
    </w:p>
    <w:p w14:paraId="40B76A76" w14:textId="19A2A425" w:rsidR="00B358CA" w:rsidRPr="00FB217A" w:rsidRDefault="00B358CA" w:rsidP="00D71CBE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Específica. </w:t>
      </w:r>
      <w:r w:rsidR="00494810" w:rsidRPr="00FB217A">
        <w:rPr>
          <w:rFonts w:ascii="Rockwell" w:hAnsi="Rockwell"/>
        </w:rPr>
        <w:t>Ha de encontrarse autorizada la relación entre el declarante y el identificador IOSS</w:t>
      </w:r>
      <w:r w:rsidR="00051E3F">
        <w:rPr>
          <w:rFonts w:ascii="Rockwell" w:hAnsi="Rockwell"/>
        </w:rPr>
        <w:t xml:space="preserve"> en la AEAT</w:t>
      </w:r>
      <w:r w:rsidR="00494810" w:rsidRPr="00FB217A">
        <w:rPr>
          <w:rFonts w:ascii="Rockwell" w:hAnsi="Rockwell"/>
        </w:rPr>
        <w:t xml:space="preserve">. </w:t>
      </w:r>
    </w:p>
    <w:p w14:paraId="4D600BAA" w14:textId="6B7BCCCC" w:rsidR="00B358CA" w:rsidRPr="00FB217A" w:rsidRDefault="00B358CA" w:rsidP="000E1ED3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>Esporádica.</w:t>
      </w:r>
      <w:r w:rsidR="00FB217A" w:rsidRPr="00FB217A">
        <w:rPr>
          <w:rFonts w:ascii="Rockwell" w:hAnsi="Rockwell"/>
        </w:rPr>
        <w:t xml:space="preserve"> </w:t>
      </w:r>
      <w:r w:rsidRPr="00FB217A">
        <w:rPr>
          <w:rFonts w:ascii="Rockwell" w:hAnsi="Rockwell"/>
        </w:rPr>
        <w:t>Se declarar</w:t>
      </w:r>
      <w:r w:rsidR="00CE2894" w:rsidRPr="00FB217A">
        <w:rPr>
          <w:rFonts w:ascii="Rockwell" w:hAnsi="Rockwell"/>
        </w:rPr>
        <w:t>á</w:t>
      </w:r>
      <w:r w:rsidRPr="00FB217A">
        <w:rPr>
          <w:rFonts w:ascii="Rockwell" w:hAnsi="Rockwell"/>
        </w:rPr>
        <w:t xml:space="preserve"> con un código 1014 en</w:t>
      </w:r>
      <w:r w:rsidR="00654C48" w:rsidRPr="00FB217A">
        <w:rPr>
          <w:rFonts w:ascii="Rockwell" w:hAnsi="Rockwell"/>
        </w:rPr>
        <w:t xml:space="preserve"> la Cas. 44.</w:t>
      </w:r>
    </w:p>
    <w:p w14:paraId="16217DF5" w14:textId="2E268A13" w:rsidR="00953678" w:rsidRPr="00953678" w:rsidRDefault="00953678" w:rsidP="001C0C1F">
      <w:pPr>
        <w:pStyle w:val="Sinespaciado"/>
        <w:jc w:val="both"/>
        <w:rPr>
          <w:rFonts w:ascii="Rockwell" w:hAnsi="Rockwell"/>
        </w:rPr>
      </w:pPr>
    </w:p>
    <w:p w14:paraId="68F37CC4" w14:textId="39196A55" w:rsidR="0008196A" w:rsidRDefault="00FD775F" w:rsidP="001C0C1F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c) </w:t>
      </w:r>
      <w:r w:rsidR="0008196A">
        <w:rPr>
          <w:rFonts w:ascii="Rockwell" w:hAnsi="Rockwell"/>
        </w:rPr>
        <w:tab/>
        <w:t>Código de Franquicia C</w:t>
      </w:r>
      <w:r w:rsidR="00B301E1">
        <w:rPr>
          <w:rFonts w:ascii="Rockwell" w:hAnsi="Rockwell"/>
        </w:rPr>
        <w:t>08</w:t>
      </w:r>
      <w:r w:rsidR="00B301E1" w:rsidRPr="0008196A">
        <w:rPr>
          <w:rFonts w:ascii="Rockwell" w:hAnsi="Rockwell"/>
        </w:rPr>
        <w:t xml:space="preserve"> </w:t>
      </w:r>
      <w:r w:rsidR="00B301E1">
        <w:rPr>
          <w:rFonts w:ascii="Rockwell" w:hAnsi="Rockwell"/>
        </w:rPr>
        <w:t>/</w:t>
      </w:r>
      <w:r w:rsidR="00365135">
        <w:rPr>
          <w:rFonts w:ascii="Rockwell" w:hAnsi="Rockwell"/>
        </w:rPr>
        <w:t xml:space="preserve"> 308 </w:t>
      </w:r>
      <w:r w:rsidR="0008196A" w:rsidRPr="0008196A">
        <w:rPr>
          <w:rFonts w:ascii="Rockwell" w:hAnsi="Rockwell"/>
        </w:rPr>
        <w:t>declarado en la Cas.37.2</w:t>
      </w:r>
      <w:r w:rsidR="0008196A">
        <w:rPr>
          <w:rFonts w:ascii="Rockwell" w:hAnsi="Rockwell"/>
        </w:rPr>
        <w:t xml:space="preserve"> para todo tipo de mercancías</w:t>
      </w:r>
      <w:r w:rsidR="0008196A" w:rsidRPr="0008196A">
        <w:rPr>
          <w:rFonts w:ascii="Rockwell" w:hAnsi="Rockwell"/>
        </w:rPr>
        <w:t>.</w:t>
      </w:r>
    </w:p>
    <w:p w14:paraId="2B9BA01F" w14:textId="0C5A9477" w:rsidR="005B4CF0" w:rsidRDefault="0008196A" w:rsidP="005B4CF0">
      <w:pPr>
        <w:pStyle w:val="Sinespaciado"/>
        <w:ind w:left="2124"/>
        <w:jc w:val="both"/>
        <w:rPr>
          <w:rFonts w:ascii="Rockwell" w:hAnsi="Rockwell" w:cs="Calibri"/>
          <w:bCs/>
          <w:sz w:val="16"/>
          <w:szCs w:val="16"/>
        </w:rPr>
      </w:pPr>
      <w:r w:rsidRPr="0008196A">
        <w:rPr>
          <w:rFonts w:ascii="Rockwell" w:hAnsi="Rockwell"/>
        </w:rPr>
        <w:lastRenderedPageBreak/>
        <w:t>NO se puede utilizar NIF auxiliar 89890029</w:t>
      </w:r>
      <w:r w:rsidR="005B4CF0">
        <w:rPr>
          <w:rFonts w:ascii="Rockwell" w:hAnsi="Rockwell"/>
        </w:rPr>
        <w:t xml:space="preserve">A </w:t>
      </w:r>
      <w:r w:rsidR="005B4CF0">
        <w:rPr>
          <w:rFonts w:ascii="Rockwell" w:hAnsi="Rockwell" w:cs="Calibri"/>
          <w:bCs/>
        </w:rPr>
        <w:t xml:space="preserve">junto con la razón social real del importador. </w:t>
      </w:r>
    </w:p>
    <w:p w14:paraId="7B540CE0" w14:textId="2EAFDC1A" w:rsidR="0008196A" w:rsidRDefault="0008196A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</w:p>
    <w:p w14:paraId="6EC6C3CF" w14:textId="121EB6DA" w:rsidR="0008196A" w:rsidRDefault="0008196A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  <w:r w:rsidRPr="0008196A">
        <w:rPr>
          <w:rFonts w:ascii="Rockwell" w:hAnsi="Rockwell"/>
        </w:rPr>
        <w:t>Es exigible autorización de despacho.</w:t>
      </w:r>
    </w:p>
    <w:p w14:paraId="3F597135" w14:textId="2C99697A" w:rsidR="00330949" w:rsidRDefault="00330949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El total declarado en la Cas. 46 con partidas con el código C08 / 308 en la declaración no puede sobrepasar 45 € y ni tampoco a nivel de partida de la declaración. </w:t>
      </w:r>
    </w:p>
    <w:p w14:paraId="0FDE8564" w14:textId="37CC0B88" w:rsidR="00330949" w:rsidRDefault="00330949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La Cas. 24 ha de ser 99. </w:t>
      </w:r>
    </w:p>
    <w:p w14:paraId="344376C1" w14:textId="77777777" w:rsidR="0008196A" w:rsidRDefault="0008196A" w:rsidP="001C0C1F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/>
        </w:rPr>
      </w:pPr>
    </w:p>
    <w:p w14:paraId="663BE809" w14:textId="27B89025" w:rsidR="007928F5" w:rsidRDefault="0008196A" w:rsidP="00203F75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 w:cs="Rockwell"/>
          <w:color w:val="000000"/>
        </w:rPr>
      </w:pPr>
      <w:r>
        <w:rPr>
          <w:rFonts w:ascii="Rockwell" w:hAnsi="Rockwell"/>
        </w:rPr>
        <w:t xml:space="preserve">d) </w:t>
      </w:r>
      <w:r w:rsidR="007928F5">
        <w:rPr>
          <w:rFonts w:ascii="Rockwell" w:hAnsi="Rockwell"/>
        </w:rPr>
        <w:t>D</w:t>
      </w:r>
      <w:r w:rsidR="007928F5">
        <w:rPr>
          <w:rFonts w:ascii="Rockwell" w:hAnsi="Rockwell" w:cs="Rockwell"/>
          <w:color w:val="000000"/>
        </w:rPr>
        <w:t>eclaraciones con condiciones de pago DDP y el destinatario sea particular, sin aplicación de franquicia C07</w:t>
      </w:r>
    </w:p>
    <w:p w14:paraId="153D5540" w14:textId="5138E937" w:rsidR="00953678" w:rsidRPr="00953678" w:rsidRDefault="00953678" w:rsidP="001C0C1F">
      <w:pPr>
        <w:pStyle w:val="Sinespaciado"/>
        <w:ind w:left="720" w:firstLine="696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Si se diera lo siguiente</w:t>
      </w:r>
      <w:r w:rsidR="00FB217A">
        <w:rPr>
          <w:rFonts w:ascii="Rockwell" w:hAnsi="Rockwell"/>
        </w:rPr>
        <w:t>:</w:t>
      </w:r>
    </w:p>
    <w:p w14:paraId="11C88B3C" w14:textId="7A3104C2" w:rsidR="00953678" w:rsidRPr="00953678" w:rsidRDefault="00953678" w:rsidP="001C0C1F">
      <w:pPr>
        <w:pStyle w:val="Sinespaciado"/>
        <w:ind w:left="1416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Cas. 20 = DDP, cas. 37.1 = régimen {40, 49}, un código 1019 en la Cas. 44, el valor en aduana de las partidas con esos valores sea menor o igual a 1000 €, destinatario sea Particular y Carácter de representación = 3:</w:t>
      </w:r>
    </w:p>
    <w:p w14:paraId="23FA72FF" w14:textId="77777777" w:rsidR="00FB217A" w:rsidRDefault="00953678" w:rsidP="00FB217A">
      <w:pPr>
        <w:pStyle w:val="Sinespaciado"/>
        <w:ind w:left="2124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NO se exige autorización de despacho.</w:t>
      </w:r>
    </w:p>
    <w:p w14:paraId="7BFEC728" w14:textId="088AE36D" w:rsidR="00953678" w:rsidRDefault="00953678" w:rsidP="00FB217A">
      <w:pPr>
        <w:pStyle w:val="Sinespaciado"/>
        <w:ind w:left="2124"/>
        <w:jc w:val="both"/>
        <w:rPr>
          <w:rFonts w:ascii="Rockwell" w:hAnsi="Rockwell" w:cs="Calibri"/>
          <w:bCs/>
          <w:sz w:val="16"/>
          <w:szCs w:val="16"/>
        </w:rPr>
      </w:pPr>
      <w:r w:rsidRPr="00953678">
        <w:rPr>
          <w:rFonts w:ascii="Rockwell" w:hAnsi="Rockwell"/>
        </w:rPr>
        <w:t xml:space="preserve">Se puede utilizar el NIF auxiliar </w:t>
      </w:r>
      <w:r w:rsidR="005B4CF0">
        <w:rPr>
          <w:rFonts w:ascii="Rockwell" w:hAnsi="Rockwell" w:cs="Calibri"/>
          <w:bCs/>
        </w:rPr>
        <w:t xml:space="preserve">89890029A junto con la razón social real del importador. </w:t>
      </w:r>
    </w:p>
    <w:p w14:paraId="6BCCECC7" w14:textId="77777777" w:rsidR="00600201" w:rsidRDefault="00600201" w:rsidP="001C0C1F">
      <w:pPr>
        <w:pStyle w:val="Sinespaciado"/>
        <w:jc w:val="both"/>
        <w:rPr>
          <w:rFonts w:ascii="Rockwell" w:hAnsi="Rockwell"/>
        </w:rPr>
      </w:pPr>
    </w:p>
    <w:p w14:paraId="68F8A2D1" w14:textId="77777777" w:rsidR="00AE6595" w:rsidRDefault="00FD775F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Nota: en la misma declaración </w:t>
      </w:r>
      <w:r w:rsidR="00051E3F">
        <w:rPr>
          <w:rFonts w:ascii="Rockwell" w:hAnsi="Rockwell"/>
        </w:rPr>
        <w:t>NO</w:t>
      </w:r>
      <w:r>
        <w:rPr>
          <w:rFonts w:ascii="Rockwell" w:hAnsi="Rockwell"/>
        </w:rPr>
        <w:t xml:space="preserve"> se pueden combinar </w:t>
      </w:r>
      <w:r w:rsidR="0008196A">
        <w:rPr>
          <w:rFonts w:ascii="Rockwell" w:hAnsi="Rockwell"/>
        </w:rPr>
        <w:t xml:space="preserve">los b, c y </w:t>
      </w:r>
      <w:r w:rsidR="00203F75">
        <w:rPr>
          <w:rFonts w:ascii="Rockwell" w:hAnsi="Rockwell"/>
        </w:rPr>
        <w:t xml:space="preserve">d. </w:t>
      </w:r>
      <w:r w:rsidR="0008196A">
        <w:rPr>
          <w:rFonts w:ascii="Rockwell" w:hAnsi="Rockwell"/>
        </w:rPr>
        <w:t>Sí será posible, combinar casos internos de</w:t>
      </w:r>
      <w:r w:rsidR="00203F75">
        <w:rPr>
          <w:rFonts w:ascii="Rockwell" w:hAnsi="Rockwell"/>
        </w:rPr>
        <w:t>l escenario b</w:t>
      </w:r>
      <w:r w:rsidR="0008196A">
        <w:rPr>
          <w:rFonts w:ascii="Rockwell" w:hAnsi="Rockwell"/>
        </w:rPr>
        <w:t>.</w:t>
      </w:r>
      <w:r w:rsidR="00203F75">
        <w:rPr>
          <w:rFonts w:ascii="Rockwell" w:hAnsi="Rockwell"/>
        </w:rPr>
        <w:t xml:space="preserve"> Así</w:t>
      </w:r>
      <w:r w:rsidR="0008196A">
        <w:rPr>
          <w:rFonts w:ascii="Rockwell" w:hAnsi="Rockwell"/>
        </w:rPr>
        <w:t>, no se podrá presentar una declaración de importación con partidas con la franquicia C07 y otras con la franquicia C08, pero sí se podrá presentar una declaración, que corresponda a un envío de acuerdo a la franquicia C07</w:t>
      </w:r>
      <w:r w:rsidR="00253C8A">
        <w:rPr>
          <w:rFonts w:ascii="Rockwell" w:hAnsi="Rockwell"/>
        </w:rPr>
        <w:t>,</w:t>
      </w:r>
      <w:r w:rsidR="0008196A">
        <w:rPr>
          <w:rFonts w:ascii="Rockwell" w:hAnsi="Rockwell"/>
        </w:rPr>
        <w:t xml:space="preserve"> que combine mercancías sujetas y no sujetas a restricciones en varias partidas. En este caso, se permitirán las simplificaciones del caso b1.</w:t>
      </w:r>
    </w:p>
    <w:p w14:paraId="030918DB" w14:textId="24CE1C72" w:rsidR="00FD775F" w:rsidRDefault="00330949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Con el código C08 se </w:t>
      </w:r>
      <w:r w:rsidR="002940CF">
        <w:rPr>
          <w:rFonts w:ascii="Rockwell" w:hAnsi="Rockwell"/>
        </w:rPr>
        <w:t>podrá declarar</w:t>
      </w:r>
      <w:r>
        <w:rPr>
          <w:rFonts w:ascii="Rockwell" w:hAnsi="Rockwell"/>
        </w:rPr>
        <w:t xml:space="preserve"> otras partidas que no declaren el C08, aunque no se puede mezclar con el caso b</w:t>
      </w:r>
      <w:r w:rsidR="002940CF">
        <w:rPr>
          <w:rFonts w:ascii="Rockwell" w:hAnsi="Rockwell"/>
        </w:rPr>
        <w:t xml:space="preserve"> y</w:t>
      </w:r>
      <w:r>
        <w:rPr>
          <w:rFonts w:ascii="Rockwell" w:hAnsi="Rockwell"/>
        </w:rPr>
        <w:t xml:space="preserve"> d</w:t>
      </w:r>
      <w:r w:rsidR="002940CF">
        <w:rPr>
          <w:rFonts w:ascii="Rockwell" w:hAnsi="Rockwell"/>
        </w:rPr>
        <w:t>.</w:t>
      </w:r>
    </w:p>
    <w:p w14:paraId="559173D6" w14:textId="3E4334A6" w:rsidR="00BD0FBB" w:rsidRPr="00953678" w:rsidRDefault="00330949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El </w:t>
      </w:r>
      <w:r w:rsidR="00BD0FBB">
        <w:rPr>
          <w:rFonts w:ascii="Rockwell" w:hAnsi="Rockwell"/>
        </w:rPr>
        <w:t xml:space="preserve">código F48, de la Cas. 37.2 no se puede declarar en Canarias.  Los Códigos 318 y 308 son declarables en Canarias solamente. </w:t>
      </w:r>
    </w:p>
    <w:sectPr w:rsidR="00BD0FBB" w:rsidRPr="00953678" w:rsidSect="0036641E">
      <w:pgSz w:w="11906" w:h="16838" w:code="9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1B7F1" w14:textId="77777777" w:rsidR="00A43E3B" w:rsidRDefault="00A43E3B" w:rsidP="00C07024">
      <w:pPr>
        <w:spacing w:after="0" w:line="240" w:lineRule="auto"/>
      </w:pPr>
      <w:r>
        <w:separator/>
      </w:r>
    </w:p>
  </w:endnote>
  <w:endnote w:type="continuationSeparator" w:id="0">
    <w:p w14:paraId="21824DE6" w14:textId="77777777" w:rsidR="00A43E3B" w:rsidRDefault="00A43E3B" w:rsidP="00C07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Default Sans Serif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47AC12" w14:textId="77777777" w:rsidR="00A43E3B" w:rsidRDefault="00A43E3B" w:rsidP="00C07024">
      <w:pPr>
        <w:spacing w:after="0" w:line="240" w:lineRule="auto"/>
      </w:pPr>
      <w:r>
        <w:separator/>
      </w:r>
    </w:p>
  </w:footnote>
  <w:footnote w:type="continuationSeparator" w:id="0">
    <w:p w14:paraId="63F14F44" w14:textId="77777777" w:rsidR="00A43E3B" w:rsidRDefault="00A43E3B" w:rsidP="00C07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F36EF"/>
    <w:multiLevelType w:val="hybridMultilevel"/>
    <w:tmpl w:val="DB3E6F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B3E0E"/>
    <w:multiLevelType w:val="hybridMultilevel"/>
    <w:tmpl w:val="6810B98A"/>
    <w:lvl w:ilvl="0" w:tplc="002E387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C422F"/>
    <w:multiLevelType w:val="hybridMultilevel"/>
    <w:tmpl w:val="A6CA46B8"/>
    <w:lvl w:ilvl="0" w:tplc="D3B2D10E">
      <w:start w:val="1"/>
      <w:numFmt w:val="lowerLetter"/>
      <w:lvlText w:val="%1)"/>
      <w:lvlJc w:val="left"/>
      <w:pPr>
        <w:ind w:left="2496" w:hanging="360"/>
      </w:pPr>
      <w:rPr>
        <w:rFonts w:cs="Calibri" w:hint="default"/>
        <w:color w:val="FF0000"/>
      </w:rPr>
    </w:lvl>
    <w:lvl w:ilvl="1" w:tplc="0C0A0019">
      <w:start w:val="1"/>
      <w:numFmt w:val="lowerLetter"/>
      <w:lvlText w:val="%2."/>
      <w:lvlJc w:val="left"/>
      <w:pPr>
        <w:ind w:left="3216" w:hanging="360"/>
      </w:pPr>
    </w:lvl>
    <w:lvl w:ilvl="2" w:tplc="0C0A001B" w:tentative="1">
      <w:start w:val="1"/>
      <w:numFmt w:val="lowerRoman"/>
      <w:lvlText w:val="%3."/>
      <w:lvlJc w:val="right"/>
      <w:pPr>
        <w:ind w:left="3936" w:hanging="180"/>
      </w:pPr>
    </w:lvl>
    <w:lvl w:ilvl="3" w:tplc="0C0A000F" w:tentative="1">
      <w:start w:val="1"/>
      <w:numFmt w:val="decimal"/>
      <w:lvlText w:val="%4."/>
      <w:lvlJc w:val="left"/>
      <w:pPr>
        <w:ind w:left="4656" w:hanging="360"/>
      </w:pPr>
    </w:lvl>
    <w:lvl w:ilvl="4" w:tplc="0C0A0019" w:tentative="1">
      <w:start w:val="1"/>
      <w:numFmt w:val="lowerLetter"/>
      <w:lvlText w:val="%5."/>
      <w:lvlJc w:val="left"/>
      <w:pPr>
        <w:ind w:left="5376" w:hanging="360"/>
      </w:pPr>
    </w:lvl>
    <w:lvl w:ilvl="5" w:tplc="0C0A001B" w:tentative="1">
      <w:start w:val="1"/>
      <w:numFmt w:val="lowerRoman"/>
      <w:lvlText w:val="%6."/>
      <w:lvlJc w:val="right"/>
      <w:pPr>
        <w:ind w:left="6096" w:hanging="180"/>
      </w:pPr>
    </w:lvl>
    <w:lvl w:ilvl="6" w:tplc="0C0A000F" w:tentative="1">
      <w:start w:val="1"/>
      <w:numFmt w:val="decimal"/>
      <w:lvlText w:val="%7."/>
      <w:lvlJc w:val="left"/>
      <w:pPr>
        <w:ind w:left="6816" w:hanging="360"/>
      </w:pPr>
    </w:lvl>
    <w:lvl w:ilvl="7" w:tplc="0C0A0019" w:tentative="1">
      <w:start w:val="1"/>
      <w:numFmt w:val="lowerLetter"/>
      <w:lvlText w:val="%8."/>
      <w:lvlJc w:val="left"/>
      <w:pPr>
        <w:ind w:left="7536" w:hanging="360"/>
      </w:pPr>
    </w:lvl>
    <w:lvl w:ilvl="8" w:tplc="0C0A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3" w15:restartNumberingAfterBreak="0">
    <w:nsid w:val="270C2488"/>
    <w:multiLevelType w:val="hybridMultilevel"/>
    <w:tmpl w:val="A6CA46B8"/>
    <w:lvl w:ilvl="0" w:tplc="D3B2D10E">
      <w:start w:val="1"/>
      <w:numFmt w:val="lowerLetter"/>
      <w:lvlText w:val="%1)"/>
      <w:lvlJc w:val="left"/>
      <w:pPr>
        <w:ind w:left="2496" w:hanging="360"/>
      </w:pPr>
      <w:rPr>
        <w:rFonts w:cs="Calibri" w:hint="default"/>
        <w:color w:val="FF0000"/>
      </w:rPr>
    </w:lvl>
    <w:lvl w:ilvl="1" w:tplc="0C0A0019">
      <w:start w:val="1"/>
      <w:numFmt w:val="lowerLetter"/>
      <w:lvlText w:val="%2."/>
      <w:lvlJc w:val="left"/>
      <w:pPr>
        <w:ind w:left="3216" w:hanging="360"/>
      </w:pPr>
    </w:lvl>
    <w:lvl w:ilvl="2" w:tplc="0C0A001B" w:tentative="1">
      <w:start w:val="1"/>
      <w:numFmt w:val="lowerRoman"/>
      <w:lvlText w:val="%3."/>
      <w:lvlJc w:val="right"/>
      <w:pPr>
        <w:ind w:left="3936" w:hanging="180"/>
      </w:pPr>
    </w:lvl>
    <w:lvl w:ilvl="3" w:tplc="0C0A000F" w:tentative="1">
      <w:start w:val="1"/>
      <w:numFmt w:val="decimal"/>
      <w:lvlText w:val="%4."/>
      <w:lvlJc w:val="left"/>
      <w:pPr>
        <w:ind w:left="4656" w:hanging="360"/>
      </w:pPr>
    </w:lvl>
    <w:lvl w:ilvl="4" w:tplc="0C0A0019" w:tentative="1">
      <w:start w:val="1"/>
      <w:numFmt w:val="lowerLetter"/>
      <w:lvlText w:val="%5."/>
      <w:lvlJc w:val="left"/>
      <w:pPr>
        <w:ind w:left="5376" w:hanging="360"/>
      </w:pPr>
    </w:lvl>
    <w:lvl w:ilvl="5" w:tplc="0C0A001B" w:tentative="1">
      <w:start w:val="1"/>
      <w:numFmt w:val="lowerRoman"/>
      <w:lvlText w:val="%6."/>
      <w:lvlJc w:val="right"/>
      <w:pPr>
        <w:ind w:left="6096" w:hanging="180"/>
      </w:pPr>
    </w:lvl>
    <w:lvl w:ilvl="6" w:tplc="0C0A000F" w:tentative="1">
      <w:start w:val="1"/>
      <w:numFmt w:val="decimal"/>
      <w:lvlText w:val="%7."/>
      <w:lvlJc w:val="left"/>
      <w:pPr>
        <w:ind w:left="6816" w:hanging="360"/>
      </w:pPr>
    </w:lvl>
    <w:lvl w:ilvl="7" w:tplc="0C0A0019" w:tentative="1">
      <w:start w:val="1"/>
      <w:numFmt w:val="lowerLetter"/>
      <w:lvlText w:val="%8."/>
      <w:lvlJc w:val="left"/>
      <w:pPr>
        <w:ind w:left="7536" w:hanging="360"/>
      </w:pPr>
    </w:lvl>
    <w:lvl w:ilvl="8" w:tplc="0C0A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4" w15:restartNumberingAfterBreak="0">
    <w:nsid w:val="49FE4E58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A74016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833CD"/>
    <w:multiLevelType w:val="hybridMultilevel"/>
    <w:tmpl w:val="4650E976"/>
    <w:lvl w:ilvl="0" w:tplc="D654D92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7C54AB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380141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activeWritingStyle w:appName="MSWord" w:lang="es-ES" w:vendorID="64" w:dllVersion="131078" w:nlCheck="1" w:checkStyle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7B49"/>
    <w:rsid w:val="00010481"/>
    <w:rsid w:val="00031408"/>
    <w:rsid w:val="00033669"/>
    <w:rsid w:val="00051E3F"/>
    <w:rsid w:val="0008196A"/>
    <w:rsid w:val="00087CC6"/>
    <w:rsid w:val="000B0256"/>
    <w:rsid w:val="000D391F"/>
    <w:rsid w:val="00103FA3"/>
    <w:rsid w:val="00106268"/>
    <w:rsid w:val="00130667"/>
    <w:rsid w:val="00143343"/>
    <w:rsid w:val="00187DCA"/>
    <w:rsid w:val="001907E9"/>
    <w:rsid w:val="00194B57"/>
    <w:rsid w:val="001B2A5E"/>
    <w:rsid w:val="001C0C1F"/>
    <w:rsid w:val="00203F75"/>
    <w:rsid w:val="00206838"/>
    <w:rsid w:val="00253C8A"/>
    <w:rsid w:val="00254789"/>
    <w:rsid w:val="00262FE6"/>
    <w:rsid w:val="00266824"/>
    <w:rsid w:val="00271A5C"/>
    <w:rsid w:val="00292AF8"/>
    <w:rsid w:val="002940CF"/>
    <w:rsid w:val="002A1840"/>
    <w:rsid w:val="002B3E66"/>
    <w:rsid w:val="003076B6"/>
    <w:rsid w:val="00312690"/>
    <w:rsid w:val="00330949"/>
    <w:rsid w:val="00336B5D"/>
    <w:rsid w:val="00360862"/>
    <w:rsid w:val="003629E2"/>
    <w:rsid w:val="00365135"/>
    <w:rsid w:val="0036641E"/>
    <w:rsid w:val="00385F94"/>
    <w:rsid w:val="003D6BBB"/>
    <w:rsid w:val="00494810"/>
    <w:rsid w:val="004A695A"/>
    <w:rsid w:val="004B2015"/>
    <w:rsid w:val="004B33C1"/>
    <w:rsid w:val="004D2967"/>
    <w:rsid w:val="005657C2"/>
    <w:rsid w:val="005B4CF0"/>
    <w:rsid w:val="005E27F9"/>
    <w:rsid w:val="005F1431"/>
    <w:rsid w:val="005F3F54"/>
    <w:rsid w:val="00600201"/>
    <w:rsid w:val="006031F5"/>
    <w:rsid w:val="00607B49"/>
    <w:rsid w:val="00654C48"/>
    <w:rsid w:val="006867C2"/>
    <w:rsid w:val="006D7D06"/>
    <w:rsid w:val="006E0A49"/>
    <w:rsid w:val="00705699"/>
    <w:rsid w:val="0070645E"/>
    <w:rsid w:val="007404B1"/>
    <w:rsid w:val="007472AA"/>
    <w:rsid w:val="007669C2"/>
    <w:rsid w:val="00781347"/>
    <w:rsid w:val="007928F5"/>
    <w:rsid w:val="007A7560"/>
    <w:rsid w:val="007D689E"/>
    <w:rsid w:val="00816715"/>
    <w:rsid w:val="008D7A0E"/>
    <w:rsid w:val="00900DC7"/>
    <w:rsid w:val="00927841"/>
    <w:rsid w:val="00932C4B"/>
    <w:rsid w:val="00953678"/>
    <w:rsid w:val="00961163"/>
    <w:rsid w:val="00963FC4"/>
    <w:rsid w:val="009D68C8"/>
    <w:rsid w:val="009F2112"/>
    <w:rsid w:val="00A25E70"/>
    <w:rsid w:val="00A43E3B"/>
    <w:rsid w:val="00A51433"/>
    <w:rsid w:val="00A6188D"/>
    <w:rsid w:val="00A82473"/>
    <w:rsid w:val="00A92656"/>
    <w:rsid w:val="00AA27C7"/>
    <w:rsid w:val="00AE6595"/>
    <w:rsid w:val="00B301E1"/>
    <w:rsid w:val="00B358CA"/>
    <w:rsid w:val="00B50A1C"/>
    <w:rsid w:val="00B603C3"/>
    <w:rsid w:val="00B61C6F"/>
    <w:rsid w:val="00B75D75"/>
    <w:rsid w:val="00B87CC8"/>
    <w:rsid w:val="00BD0FBB"/>
    <w:rsid w:val="00BD0FF3"/>
    <w:rsid w:val="00BE3B17"/>
    <w:rsid w:val="00C07024"/>
    <w:rsid w:val="00C929B8"/>
    <w:rsid w:val="00C95112"/>
    <w:rsid w:val="00CA7333"/>
    <w:rsid w:val="00CE17E3"/>
    <w:rsid w:val="00CE2894"/>
    <w:rsid w:val="00D748C5"/>
    <w:rsid w:val="00D92E8E"/>
    <w:rsid w:val="00DC2FE7"/>
    <w:rsid w:val="00DD271E"/>
    <w:rsid w:val="00E42B6A"/>
    <w:rsid w:val="00E658B4"/>
    <w:rsid w:val="00E7261D"/>
    <w:rsid w:val="00E76FB4"/>
    <w:rsid w:val="00E80498"/>
    <w:rsid w:val="00EA6537"/>
    <w:rsid w:val="00EC1355"/>
    <w:rsid w:val="00F117F0"/>
    <w:rsid w:val="00F17D1E"/>
    <w:rsid w:val="00F347CB"/>
    <w:rsid w:val="00F42DFE"/>
    <w:rsid w:val="00F7482E"/>
    <w:rsid w:val="00FA27FB"/>
    <w:rsid w:val="00FA60B1"/>
    <w:rsid w:val="00FB217A"/>
    <w:rsid w:val="00FD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9F4AB"/>
  <w15:chartTrackingRefBased/>
  <w15:docId w15:val="{3235117F-7028-4798-9D88-A19C5CFC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B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07B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07B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07B49"/>
    <w:rPr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07B49"/>
    <w:rPr>
      <w:b/>
      <w:bCs/>
    </w:rPr>
  </w:style>
  <w:style w:type="character" w:customStyle="1" w:styleId="notraducir">
    <w:name w:val="notraducir"/>
    <w:basedOn w:val="Fuentedeprrafopredeter"/>
    <w:rsid w:val="00607B49"/>
  </w:style>
  <w:style w:type="paragraph" w:styleId="Textodeglobo">
    <w:name w:val="Balloon Text"/>
    <w:basedOn w:val="Normal"/>
    <w:link w:val="TextodegloboCar"/>
    <w:uiPriority w:val="99"/>
    <w:semiHidden/>
    <w:unhideWhenUsed/>
    <w:rsid w:val="00607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7B4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194B5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070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7024"/>
  </w:style>
  <w:style w:type="paragraph" w:styleId="Piedepgina">
    <w:name w:val="footer"/>
    <w:basedOn w:val="Normal"/>
    <w:link w:val="PiedepginaCar"/>
    <w:uiPriority w:val="99"/>
    <w:unhideWhenUsed/>
    <w:rsid w:val="00C070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702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29E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29E2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081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5C22F-1246-42A5-96D1-6B99F6271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633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Tributaria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AEAT</dc:creator>
  <cp:keywords/>
  <dc:description/>
  <cp:lastModifiedBy>AEAT</cp:lastModifiedBy>
  <cp:revision>5</cp:revision>
  <dcterms:created xsi:type="dcterms:W3CDTF">2021-06-24T10:36:00Z</dcterms:created>
  <dcterms:modified xsi:type="dcterms:W3CDTF">2021-06-24T10:46:00Z</dcterms:modified>
</cp:coreProperties>
</file>